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 w:after="120"/>
        <w:jc w:val="center"/>
      </w:pPr>
      <w:r>
        <w:rPr>
          <w:b/>
          <w:bCs/>
          <w:color w:val="EA5B0C"/>
          <w:sz w:val="56"/>
          <w:szCs w:val="56"/>
          <w:rFonts w:ascii="Georgia" w:cs="Georgia" w:eastAsia="Georgia" w:hAnsi="Georgia"/>
        </w:rPr>
        <w:t xml:space="preserve">Evening Class</w:t>
      </w:r>
    </w:p>
    <w:p>
      <w:pPr>
        <w:spacing w:before="0" w:after="200"/>
        <w:jc w:val="center"/>
      </w:pPr>
      <w:r>
        <w:rPr>
          <w:b/>
          <w:bCs/>
          <w:color w:val="0F2A44"/>
          <w:sz w:val="32"/>
          <w:szCs w:val="32"/>
          <w:rFonts w:ascii="Georgia" w:cs="Georgia" w:eastAsia="Georgia" w:hAnsi="Georgia"/>
        </w:rPr>
        <w:t xml:space="preserve">The Complete Platform for Adult Education Colleges</w:t>
      </w:r>
    </w:p>
    <w:p>
      <w:pPr>
        <w:spacing w:before="0" w:after="400"/>
        <w:jc w:val="center"/>
      </w:pPr>
      <w:r>
        <w:rPr>
          <w:color w:val="6B6256"/>
          <w:sz w:val="24"/>
          <w:szCs w:val="24"/>
          <w:rFonts w:ascii="Calibri" w:cs="Calibri" w:eastAsia="Calibri" w:hAnsi="Calibri"/>
        </w:rPr>
        <w:t xml:space="preserve">Booking, payments, and class management — built specifically for evening-class and adult-education providers.</w:t>
      </w:r>
    </w:p>
    <w:p>
      <w:pPr>
        <w:spacing w:before="280" w:after="120"/>
      </w:pPr>
      <w:r>
        <w:rPr>
          <w:b/>
          <w:bCs/>
          <w:color w:val="0F2A44"/>
          <w:sz w:val="28"/>
          <w:szCs w:val="28"/>
          <w:rFonts w:ascii="Georgia" w:cs="Georgia" w:eastAsia="Georgia" w:hAnsi="Georgia"/>
        </w:rPr>
        <w:t xml:space="preserve">The Challenge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Running an evening-class programme means juggling dozens of moving parts — course listings, enrolment forms, payments, attendance, refunds, and communications — often across disconnected spreadsheets, emails, and payment portals. The result is administrative overload, missed revenue, and a learner experience that feels clunky rather than welcoming.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Learners abandon booking when the process is too complex or requires yet another account.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Staff waste hours reconciling payments, chasing no-shows, and managing waitlists manually.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Colleges struggle to see which courses are profitable, which are under-subscribed, and why.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GDPR compliance and data security become expensive afterthoughts rather than built-in safeguards.</w:t>
      </w:r>
    </w:p>
    <w:p>
      <w:pPr>
        <w:spacing w:before="280" w:after="120"/>
      </w:pPr>
      <w:r>
        <w:rPr>
          <w:b/>
          <w:bCs/>
          <w:color w:val="0F2A44"/>
          <w:sz w:val="28"/>
          <w:szCs w:val="28"/>
          <w:rFonts w:ascii="Georgia" w:cs="Georgia" w:eastAsia="Georgia" w:hAnsi="Georgia"/>
        </w:rPr>
        <w:t xml:space="preserve">What Evening Class Delivers</w:t>
      </w:r>
    </w:p>
    <w:p>
      <w:pPr>
        <w:spacing w:before="60" w:after="60"/>
      </w:pPr>
      <w:r>
        <w:rPr>
          <w:b/>
          <w:bCs/>
          <w:color w:val="0F2A44"/>
          <w:sz w:val="22"/>
          <w:szCs w:val="22"/>
          <w:rFonts w:ascii="Calibri" w:cs="Calibri" w:eastAsia="Calibri" w:hAnsi="Calibri"/>
        </w:rPr>
        <w:t xml:space="preserve">Evening Class is a multi-tenant, white-label SaaS platform that gives every college its own branded public website and a powerful admin dashboard — all in one place. Learners discover, book, and pay for classes in minutes. Administrators manage courses, tutors, payments, communications, and reporting from a single, secure interface. No plugins, no integrations to maintain, and no technical expertise required.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7"/>
        <w:gridCol w:w="2257"/>
      </w:tblGrid>
      <w:tr>
        <w:tc>
          <w:tcPr>
            <w:tcW w:type="dxa" w:w="2256"/>
            <w:tcBorders>
              <w:top w:val="single" w:color="D9D5CF" w:sz="1"/>
              <w:left w:val="single" w:color="D9D5CF" w:sz="1"/>
              <w:bottom w:val="single" w:color="D9D5CF" w:sz="1"/>
              <w:right w:val="single" w:color="D9D5CF" w:sz="1"/>
            </w:tcBorders>
            <w:shd w:fill="F8F6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EA5B0C"/>
                <w:sz w:val="48"/>
                <w:szCs w:val="48"/>
                <w:rFonts w:ascii="Georgia" w:cs="Georgia" w:eastAsia="Georgia" w:hAnsi="Georgia"/>
              </w:rPr>
              <w:t xml:space="preserve">3</w:t>
            </w:r>
          </w:p>
          <w:p>
            <w:pPr>
              <w:jc w:val="center"/>
            </w:pPr>
            <w:r>
              <w:rPr>
                <w:color w:val="6B6256"/>
                <w:sz w:val="20"/>
                <w:szCs w:val="20"/>
                <w:rFonts w:ascii="Calibri" w:cs="Calibri" w:eastAsia="Calibri" w:hAnsi="Calibri"/>
              </w:rPr>
              <w:t xml:space="preserve">Click booking</w:t>
            </w:r>
          </w:p>
        </w:tc>
        <w:tc>
          <w:tcPr>
            <w:tcW w:type="dxa" w:w="2256"/>
            <w:tcBorders>
              <w:top w:val="single" w:color="D9D5CF" w:sz="1"/>
              <w:left w:val="single" w:color="D9D5CF" w:sz="1"/>
              <w:bottom w:val="single" w:color="D9D5CF" w:sz="1"/>
              <w:right w:val="single" w:color="D9D5CF" w:sz="1"/>
            </w:tcBorders>
            <w:shd w:fill="F8F6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EA5B0C"/>
                <w:sz w:val="48"/>
                <w:szCs w:val="48"/>
                <w:rFonts w:ascii="Georgia" w:cs="Georgia" w:eastAsia="Georgia" w:hAnsi="Georgia"/>
              </w:rPr>
              <w:t xml:space="preserve">80+</w:t>
            </w:r>
          </w:p>
          <w:p>
            <w:pPr>
              <w:jc w:val="center"/>
            </w:pPr>
            <w:r>
              <w:rPr>
                <w:color w:val="6B6256"/>
                <w:sz w:val="20"/>
                <w:szCs w:val="20"/>
                <w:rFonts w:ascii="Calibri" w:cs="Calibri" w:eastAsia="Calibri" w:hAnsi="Calibri"/>
              </w:rPr>
              <w:t xml:space="preserve">Countries with auto-tax</w:t>
            </w:r>
          </w:p>
        </w:tc>
        <w:tc>
          <w:tcPr>
            <w:tcW w:type="dxa" w:w="2257"/>
            <w:tcBorders>
              <w:top w:val="single" w:color="D9D5CF" w:sz="1"/>
              <w:left w:val="single" w:color="D9D5CF" w:sz="1"/>
              <w:bottom w:val="single" w:color="D9D5CF" w:sz="1"/>
              <w:right w:val="single" w:color="D9D5CF" w:sz="1"/>
            </w:tcBorders>
            <w:shd w:fill="F8F6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EA5B0C"/>
                <w:sz w:val="48"/>
                <w:szCs w:val="48"/>
                <w:rFonts w:ascii="Georgia" w:cs="Georgia" w:eastAsia="Georgia" w:hAnsi="Georgia"/>
              </w:rPr>
              <w:t xml:space="preserve">0</w:t>
            </w:r>
          </w:p>
          <w:p>
            <w:pPr>
              <w:jc w:val="center"/>
            </w:pPr>
            <w:r>
              <w:rPr>
                <w:color w:val="6B6256"/>
                <w:sz w:val="20"/>
                <w:szCs w:val="20"/>
                <w:rFonts w:ascii="Calibri" w:cs="Calibri" w:eastAsia="Calibri" w:hAnsi="Calibri"/>
              </w:rPr>
              <w:t xml:space="preserve">Learner accounts needed</w:t>
            </w:r>
          </w:p>
        </w:tc>
        <w:tc>
          <w:tcPr>
            <w:tcW w:type="dxa" w:w="2257"/>
            <w:tcBorders>
              <w:top w:val="single" w:color="D9D5CF" w:sz="1"/>
              <w:left w:val="single" w:color="D9D5CF" w:sz="1"/>
              <w:bottom w:val="single" w:color="D9D5CF" w:sz="1"/>
              <w:right w:val="single" w:color="D9D5CF" w:sz="1"/>
            </w:tcBorders>
            <w:shd w:fill="F8F6F3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EA5B0C"/>
                <w:sz w:val="48"/>
                <w:szCs w:val="48"/>
                <w:rFonts w:ascii="Georgia" w:cs="Georgia" w:eastAsia="Georgia" w:hAnsi="Georgia"/>
              </w:rPr>
              <w:t xml:space="preserve">1</w:t>
            </w:r>
          </w:p>
          <w:p>
            <w:pPr>
              <w:jc w:val="center"/>
            </w:pPr>
            <w:r>
              <w:rPr>
                <w:color w:val="6B6256"/>
                <w:sz w:val="20"/>
                <w:szCs w:val="20"/>
                <w:rFonts w:ascii="Calibri" w:cs="Calibri" w:eastAsia="Calibri" w:hAnsi="Calibri"/>
              </w:rPr>
              <w:t xml:space="preserve">Dashboard for everything</w:t>
            </w:r>
          </w:p>
        </w:tc>
      </w:tr>
    </w:tbl>
    <w:p>
      <w:pPr>
        <w:spacing w:before="280" w:after="120"/>
      </w:pPr>
      <w:r>
        <w:rPr>
          <w:b/>
          <w:bCs/>
          <w:color w:val="0F2A44"/>
          <w:sz w:val="28"/>
          <w:szCs w:val="28"/>
          <w:rFonts w:ascii="Georgia" w:cs="Georgia" w:eastAsia="Georgia" w:hAnsi="Georgia"/>
        </w:rPr>
        <w:t xml:space="preserve">Capabilities That Drive Results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Effortless Enrolment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Convert casual browsers into committed learners with a frictionless discovery and booking experience.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Beautiful, mobile-first course catalogue with smart filtering by category, weekday, and location.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AI-powered ‘Help me choose’ assistant — learners describe their interests in plain language and receive real course recommendations from your live catalogue.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Three-step booking with no account required: learners enter their details, review, and pay in minutes.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Automatic waitlist management when a class reaches capacity — no manual lists, no disappointed callers.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Customisable enrolment forms per course or run, so you collect exactly the information you need.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Secure, Compliant Payments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Get paid faster, reduce fraud risk, and let Stripe handle the complexity of global tax compliance.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Stripe Embedded Checkout keeps learners on your branded site throughout the payment journey.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Managed Payments with automatic tax calculation, collection, and filing in approximately 80 countries.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Flexible instalment plans for higher-value courses or employer-sponsored learners.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Direct-to-college payouts via Stripe Connect — funds settle to your bank account, not a pooled platform account.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Built-in Test Mode: rehearse the entire learner journey with dummy data, then purge it with a single click.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Complete Class Management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Run every term from one dashboard instead of scattered spreadsheets and paper registers.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Course and run scheduling with capacity tracking, fill-rate alerts, and automated status updates.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Tutor and location management — assign staff and rooms to runs in seconds.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Digital attendance check-in via QR code: learners tap their name on a phone or tablet at the door.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Real-time booking status tracking: pending payment, confirmed, waitlisted, cancelled, or refunded.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Sponsor invoice management for CE schemes, employers, and corporate training partners.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Intelligent Communications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Keep learners informed, reduce no-shows, and free staff from repetitive email work.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Built-in email composer with templates for confirmations, reminders, cancellations, and payment requests.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Automated booking confirmations triggered the moment payment succeeds.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Scheduled reminders and bulk messaging to class groups or entire cohorts.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All learner contact preferences are captured at enrolment and respected automatically.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Data &amp; Insights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Make confident decisions based on real-time data rather than end-of-term guesswork.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At-a-glance dashboard showing bookings, revenue, and class fill rates over any date range.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Nine built-in reports: revenue overview, top courses, fill rates, refunds, payment methods, failed attempts, and more.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Custom report builder with grouping, filtering, and scheduled delivery — run the same analysis every week without rebuilding it.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One-click export for finance reconciliation, grant reporting, or board presentations.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Enterprise-Grade Security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Protect sensitive learner data and demonstrate compliance to auditors, regulators, and insurers.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Role-based access control — staff see only the data and actions relevant to their responsibilities.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Multi-factor authentication for all admin accounts.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GDPR-compliant consent logging: every terms acceptance and marketing preference is timestamped and auditable.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Secure learner portal via magic email link — no passwords for learners to forget, reset, or compromise.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Integrated security scanning to identify and remediate vulnerabilities proactively.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White-Label Branding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Present a professional, consistent identity across every learner touchpoint.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Custom domain support — your college’s own web address, not a generic platform URL.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Upload your logo, choose your colours, and set hero imagery that reflects your institution.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Branded terms and cancellation policies, linked directly from the booking form.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Custom payment instructions and automated invoice numbering for sponsor billing.</w:t>
      </w:r>
    </w:p>
    <w:p>
      <w:r>
        <w:br w:type="page"/>
      </w:r>
    </w:p>
    <w:p>
      <w:pPr>
        <w:spacing w:before="280" w:after="120"/>
      </w:pPr>
      <w:r>
        <w:rPr>
          <w:b/>
          <w:bCs/>
          <w:color w:val="0F2A44"/>
          <w:sz w:val="28"/>
          <w:szCs w:val="28"/>
          <w:rFonts w:ascii="Georgia" w:cs="Georgia" w:eastAsia="Georgia" w:hAnsi="Georgia"/>
        </w:rPr>
        <w:t xml:space="preserve">What Makes Evening Class Different</w:t>
      </w:r>
    </w:p>
    <w:p>
      <w:pPr>
        <w:spacing w:before="60" w:after="60"/>
      </w:pPr>
      <w:r>
        <w:rPr>
          <w:b/>
          <w:bCs/>
          <w:color w:val="0F2A44"/>
          <w:sz w:val="22"/>
          <w:szCs w:val="22"/>
          <w:rFonts w:ascii="Calibri" w:cs="Calibri" w:eastAsia="Calibri" w:hAnsi="Calibri"/>
        </w:rPr>
        <w:t xml:space="preserve">Most class-management tools are generic booking systems retrofitted for education. Evening Class is purpose-built for the rhythms of adult and evening education.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Built for Evening Classes, Not Retrofitted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Term-based runs, one-off payments, walk-in learners, and mixed-age cohorts are first-class workflows — not workarounds shoehorned into a salon or gym booking engine.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AI Course Assistant Out of the Box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Learners often know they want to do something creative or active, but don’t know the exact course name. Our AI chat understands plain-language queries (‘something relaxing on a Tuesday’) and suggests real, available classes from your catalogue — reducing drop-off at the discovery stage.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Test Mode + One-Click Purge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Go-live rehearsal is essential, yet most platforms make it risky or impossible. With Evening Class, you switch on Test Mode, run a complete end-to-end booking and payment using dummy data, then delete every test record in seconds. No other platform makes pre-launch validation this safe.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Managed Payments with Global Tax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Stripe’s Managed Payments service handles tax calculation, collection, and filing automatically. For colleges in Ireland, the UK, and beyond, this removes the need for a separate tax consultant or complex VAT configuration every term.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No Learner Accounts Required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Every additional click and every password field loses learners. Evening Class removes the ‘sign up’ barrier entirely: learners book with an email address and receive a secure magic link to view their bookings. This is especially important for older or less tech-confident demographics — a significant portion of the adult-education market.</w:t>
      </w:r>
    </w:p>
    <w:p>
      <w:pPr>
        <w:spacing w:before="200" w:after="80"/>
      </w:pPr>
      <w:r>
        <w:rPr>
          <w:b/>
          <w:bCs/>
          <w:color w:val="B5121B"/>
          <w:sz w:val="24"/>
          <w:szCs w:val="24"/>
          <w:rFonts w:ascii="Georgia" w:cs="Georgia" w:eastAsia="Georgia" w:hAnsi="Georgia"/>
        </w:rPr>
        <w:t xml:space="preserve">Multi-College Platform</w:t>
      </w:r>
    </w:p>
    <w:p>
      <w:pPr>
        <w:spacing w:before="60" w:after="6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For education groups, franchise networks, or multi-campus institutes: one backend, separate branded sites per college, and central oversight of performance, compliance, and financials.</w:t>
      </w:r>
    </w:p>
    <w:p>
      <w:pPr>
        <w:spacing w:before="280" w:after="120"/>
      </w:pPr>
      <w:r>
        <w:rPr>
          <w:b/>
          <w:bCs/>
          <w:color w:val="0F2A44"/>
          <w:sz w:val="28"/>
          <w:szCs w:val="28"/>
          <w:rFonts w:ascii="Georgia" w:cs="Georgia" w:eastAsia="Georgia" w:hAnsi="Georgia"/>
        </w:rPr>
        <w:t xml:space="preserve">Who It’s For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Adult-education and further-education colleges running evening hobby or professional programmes.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Community education providers and local authority lifelong-learning services.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Private training centres and corporate academies offering term-based, enrolment-driven classes.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0F2A44"/>
          <w:sz w:val="22"/>
          <w:szCs w:val="22"/>
          <w:rFonts w:ascii="Calibri" w:cs="Calibri" w:eastAsia="Calibri" w:hAnsi="Calibri"/>
        </w:rPr>
        <w:t xml:space="preserve">Any organisation that needs to convert website visitors into enrolled, paid learners — quickly and professionally.</w:t>
      </w:r>
    </w:p>
    <w:p>
      <w:pPr>
        <w:pBdr>
          <w:top w:val="single" w:color="D9D5CF" w:sz="1" w:space="12"/>
          <w:bottom w:val="single" w:color="D9D5CF" w:sz="1" w:space="12"/>
          <w:left w:val="single" w:color="D9D5CF" w:sz="1" w:space="12"/>
          <w:right w:val="single" w:color="D9D5CF" w:sz="1" w:space="12"/>
        </w:pBdr>
        <w:shd w:fill="F8F6F3" w:val="clear"/>
        <w:spacing w:before="400" w:after="120"/>
        <w:jc w:val="center"/>
      </w:pPr>
      <w:r>
        <w:rPr>
          <w:b/>
          <w:bCs/>
          <w:color w:val="0F2A44"/>
          <w:sz w:val="28"/>
          <w:szCs w:val="28"/>
          <w:rFonts w:ascii="Georgia" w:cs="Georgia" w:eastAsia="Georgia" w:hAnsi="Georgia"/>
        </w:rPr>
        <w:t xml:space="preserve">See the platform in action</w:t>
      </w:r>
    </w:p>
    <w:p>
      <w:pPr>
        <w:spacing w:before="80" w:after="200"/>
        <w:jc w:val="center"/>
      </w:pPr>
      <w:r>
        <w:rPr>
          <w:color w:val="6B6256"/>
          <w:sz w:val="22"/>
          <w:szCs w:val="22"/>
          <w:rFonts w:ascii="Calibri" w:cs="Calibri" w:eastAsia="Calibri" w:hAnsi="Calibri"/>
        </w:rPr>
        <w:t xml:space="preserve">Request a personalised demo tailored to your college’s programmes, branding, and enrolment workflow. We’ll walk you through a live test booking, the admin dashboard, and the reporting suite — with no obligation.</w:t>
      </w:r>
    </w:p>
    <w:p>
      <w:pPr>
        <w:spacing w:before="0" w:after="0"/>
        <w:jc w:val="center"/>
      </w:pPr>
      <w:r>
        <w:rPr>
          <w:b/>
          <w:bCs/>
          <w:color w:val="EA5B0C"/>
          <w:sz w:val="24"/>
          <w:szCs w:val="24"/>
          <w:rFonts w:ascii="Calibri" w:cs="Calibri" w:eastAsia="Calibri" w:hAnsi="Calibri"/>
        </w:rPr>
        <w:t xml:space="preserve">eveningclass.app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6256"/>
        <w:sz w:val="18"/>
        <w:szCs w:val="18"/>
        <w:rFonts w:ascii="Calibri" w:cs="Calibri" w:eastAsia="Calibri" w:hAnsi="Calibri"/>
      </w:rPr>
      <w:t xml:space="preserve">Page </w:t>
    </w:r>
    <w:r>
      <w:rPr>
        <w:color w:val="6B6256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6B6256"/>
        <w:sz w:val="18"/>
        <w:szCs w:val="18"/>
        <w:rFonts w:ascii="Calibri" w:cs="Calibri" w:eastAsia="Calibri" w:hAnsi="Calibri"/>
      </w:rPr>
      <w:t xml:space="preserve">Evening Class Platform</w:t>
    </w:r>
  </w:p>
  <w:p>
    <w:pPr>
      <w:pBdr>
        <w:bottom w:val="single" w:color="EA5B0C" w:sz="6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120"/>
      <w:outlineLvl w:val="0"/>
    </w:pPr>
    <w:rPr>
      <w:b/>
      <w:bCs/>
      <w:color w:val="EA5B0C"/>
      <w:sz w:val="36"/>
      <w:szCs w:val="36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80" w:after="120"/>
      <w:outlineLvl w:val="1"/>
    </w:pPr>
    <w:rPr>
      <w:b/>
      <w:bCs/>
      <w:color w:val="0F2A44"/>
      <w:sz w:val="28"/>
      <w:szCs w:val="28"/>
      <w:rFonts w:ascii="Georgia" w:cs="Georgia" w:eastAsia="Georgia" w:hAnsi="Georgia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2026-06-28T11:24:42.876Z</dcterms:created>
  <dcterms:modified xsi:type="dcterms:W3CDTF">2026-06-28T11:24:42.876Z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